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9B" w:rsidRDefault="005D059B" w:rsidP="00E3770D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</w:p>
    <w:p w:rsidR="00E3770D" w:rsidRPr="0010492B" w:rsidRDefault="003417CF" w:rsidP="00E3770D">
      <w:pPr>
        <w:suppressAutoHyphens/>
        <w:jc w:val="right"/>
        <w:rPr>
          <w:rFonts w:ascii="Arial" w:eastAsia="Times New Roman" w:hAnsi="Arial" w:cs="Arial"/>
          <w:iCs/>
          <w:color w:val="FF0000"/>
          <w:szCs w:val="20"/>
          <w:lang w:eastAsia="ar-SA"/>
        </w:rPr>
      </w:pPr>
      <w:r>
        <w:rPr>
          <w:rFonts w:ascii="Arial" w:eastAsia="Times New Roman" w:hAnsi="Arial" w:cs="Arial"/>
          <w:iCs/>
          <w:szCs w:val="20"/>
          <w:lang w:eastAsia="ar-SA"/>
        </w:rPr>
        <w:t>Załącznik nr 1B</w:t>
      </w:r>
      <w:r w:rsidR="000F6AF9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="001203FB" w:rsidRPr="003417CF">
        <w:rPr>
          <w:rFonts w:ascii="Arial" w:eastAsia="Times New Roman" w:hAnsi="Arial" w:cs="Arial"/>
          <w:iCs/>
          <w:szCs w:val="20"/>
          <w:lang w:eastAsia="ar-SA"/>
        </w:rPr>
        <w:br/>
      </w:r>
      <w:r w:rsidR="001203FB" w:rsidRPr="0010492B">
        <w:rPr>
          <w:rFonts w:ascii="Arial" w:eastAsia="Times New Roman" w:hAnsi="Arial" w:cs="Arial"/>
          <w:iCs/>
          <w:color w:val="FF0000"/>
          <w:szCs w:val="20"/>
          <w:lang w:eastAsia="ar-SA"/>
        </w:rPr>
        <w:t>nr …</w:t>
      </w:r>
    </w:p>
    <w:p w:rsidR="005D059B" w:rsidRPr="0010492B" w:rsidRDefault="005D059B" w:rsidP="005D059B">
      <w:pPr>
        <w:keepNext/>
        <w:spacing w:before="240" w:after="60"/>
        <w:jc w:val="center"/>
        <w:outlineLvl w:val="0"/>
        <w:rPr>
          <w:rFonts w:ascii="Arial" w:hAnsi="Arial" w:cs="Arial"/>
          <w:b/>
          <w:color w:val="FF0000"/>
          <w:sz w:val="24"/>
        </w:rPr>
      </w:pPr>
      <w:r w:rsidRPr="0010492B">
        <w:rPr>
          <w:rFonts w:ascii="Arial" w:hAnsi="Arial" w:cs="Arial"/>
          <w:b/>
          <w:color w:val="FF0000"/>
          <w:sz w:val="24"/>
        </w:rPr>
        <w:t xml:space="preserve">Kryteria wyboru projektów składanych do Stowarzyszenia „Wrota Karpat”  </w:t>
      </w:r>
    </w:p>
    <w:p w:rsidR="005D059B" w:rsidRPr="0010492B" w:rsidRDefault="005D059B" w:rsidP="005D059B">
      <w:pPr>
        <w:keepNext/>
        <w:spacing w:before="240" w:after="6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10492B">
        <w:rPr>
          <w:rFonts w:ascii="Arial" w:hAnsi="Arial" w:cs="Arial"/>
          <w:b/>
          <w:color w:val="FF0000"/>
          <w:sz w:val="24"/>
        </w:rPr>
        <w:t xml:space="preserve">w ramach działania 6.22, typ projektu </w:t>
      </w:r>
      <w:r w:rsidRPr="0010492B">
        <w:rPr>
          <w:rFonts w:ascii="Arial" w:hAnsi="Arial" w:cs="Arial"/>
          <w:b/>
          <w:color w:val="FF0000"/>
          <w:sz w:val="24"/>
          <w:szCs w:val="24"/>
        </w:rPr>
        <w:t xml:space="preserve">B. Usługi zgodne z zasadą </w:t>
      </w:r>
      <w:proofErr w:type="spellStart"/>
      <w:r w:rsidRPr="0010492B">
        <w:rPr>
          <w:rFonts w:ascii="Arial" w:hAnsi="Arial" w:cs="Arial"/>
          <w:b/>
          <w:color w:val="FF0000"/>
          <w:sz w:val="24"/>
          <w:szCs w:val="24"/>
        </w:rPr>
        <w:t>deinstytucjonalizacji</w:t>
      </w:r>
      <w:proofErr w:type="spellEnd"/>
      <w:r w:rsidRPr="0010492B">
        <w:rPr>
          <w:rFonts w:ascii="Arial" w:hAnsi="Arial" w:cs="Arial"/>
          <w:b/>
          <w:color w:val="FF0000"/>
          <w:sz w:val="24"/>
          <w:szCs w:val="24"/>
        </w:rPr>
        <w:t>, w zakresie zapewnienia opieki osobom potrzebującym wsparcia w codziennym funkcjonowaniu, w tym ze względu na wiek lub usługi w zakresie wsparcia opiekunów nieformalnych</w:t>
      </w:r>
    </w:p>
    <w:p w:rsidR="005D059B" w:rsidRPr="005D059B" w:rsidRDefault="005D059B" w:rsidP="005D059B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4"/>
        <w:gridCol w:w="10892"/>
      </w:tblGrid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</w:p>
        </w:tc>
      </w:tr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cie usług społecznych i zdrowotnych w regionie </w:t>
            </w:r>
            <w:r w:rsidR="005A0F0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RLKS</w:t>
            </w:r>
            <w:r w:rsidR="005F3D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</w:t>
            </w:r>
            <w:proofErr w:type="spell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niepełnosprawnościami</w:t>
            </w:r>
            <w:proofErr w:type="spellEnd"/>
            <w:r w:rsidRPr="00D95B49">
              <w:rPr>
                <w:rFonts w:ascii="Arial" w:hAnsi="Arial" w:cs="Arial"/>
                <w:b/>
                <w:sz w:val="24"/>
                <w:szCs w:val="24"/>
              </w:rPr>
              <w:t>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B94976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4976">
              <w:rPr>
                <w:rFonts w:ascii="Arial" w:hAnsi="Arial" w:cs="Arial"/>
                <w:b/>
                <w:sz w:val="24"/>
                <w:szCs w:val="24"/>
              </w:rPr>
              <w:t xml:space="preserve">Usługi zgodne z zasadą </w:t>
            </w:r>
            <w:proofErr w:type="spellStart"/>
            <w:r w:rsidRPr="00B94976">
              <w:rPr>
                <w:rFonts w:ascii="Arial" w:hAnsi="Arial" w:cs="Arial"/>
                <w:b/>
                <w:sz w:val="24"/>
                <w:szCs w:val="24"/>
              </w:rPr>
              <w:t>deinstytucjonalizacji</w:t>
            </w:r>
            <w:proofErr w:type="spellEnd"/>
            <w:r w:rsidRPr="00B94976">
              <w:rPr>
                <w:rFonts w:ascii="Arial" w:hAnsi="Arial" w:cs="Arial"/>
                <w:b/>
                <w:sz w:val="24"/>
                <w:szCs w:val="24"/>
              </w:rPr>
              <w:t>, w zakresie zapewnienia opieki osobom potrzebującym wsparcia w codziennym funkcjonowaniu, w tym ze względu na wiek lub usługi w zakresie wsparcia opiekunów nieformalnych.</w:t>
            </w:r>
          </w:p>
        </w:tc>
      </w:tr>
    </w:tbl>
    <w:p w:rsidR="00D95B49" w:rsidRDefault="00D95B49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8C1A32" w:rsidRDefault="008C1A32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5D059B" w:rsidRDefault="005D059B" w:rsidP="008C1A32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8C1A32" w:rsidRDefault="008C1A32" w:rsidP="008C1A32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8C1A32">
        <w:rPr>
          <w:rFonts w:ascii="Arial" w:hAnsi="Arial" w:cs="Arial"/>
          <w:b/>
          <w:sz w:val="24"/>
          <w:szCs w:val="24"/>
        </w:rPr>
        <w:lastRenderedPageBreak/>
        <w:t>KRYTERIA PODSTAWOWE</w:t>
      </w:r>
    </w:p>
    <w:p w:rsidR="008C1A32" w:rsidRPr="008C1A32" w:rsidRDefault="008C1A32" w:rsidP="008C1A32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6095"/>
        <w:gridCol w:w="2274"/>
        <w:gridCol w:w="1695"/>
        <w:gridCol w:w="964"/>
      </w:tblGrid>
      <w:tr w:rsidR="00D95B49" w:rsidRPr="00D95B49" w:rsidTr="00C82BA6">
        <w:trPr>
          <w:trHeight w:val="401"/>
          <w:tblHeader/>
        </w:trPr>
        <w:tc>
          <w:tcPr>
            <w:tcW w:w="311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095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27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695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oceniając</w:t>
            </w:r>
            <w:bookmarkStart w:id="0" w:name="_GoBack"/>
            <w:bookmarkEnd w:id="0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96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waga</w:t>
            </w:r>
          </w:p>
        </w:tc>
      </w:tr>
      <w:tr w:rsidR="00D95B49" w:rsidRPr="00D95B49" w:rsidTr="00645438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:rsidR="00D95B49" w:rsidRPr="00D95B49" w:rsidRDefault="00645438" w:rsidP="007446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Kryteria oceny </w:t>
            </w:r>
            <w:r w:rsidR="008D570E">
              <w:rPr>
                <w:rFonts w:ascii="Arial" w:eastAsia="Times New Roman" w:hAnsi="Arial" w:cs="Arial"/>
                <w:b/>
                <w:sz w:val="24"/>
                <w:szCs w:val="24"/>
              </w:rPr>
              <w:t>punktowej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21134B" w:rsidRDefault="001E50F4" w:rsidP="00744695">
            <w:pPr>
              <w:pStyle w:val="Akapitzlist"/>
              <w:numPr>
                <w:ilvl w:val="0"/>
                <w:numId w:val="39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Adekwatność doboru grupy docelowej</w:t>
            </w:r>
          </w:p>
          <w:p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kryterium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obligatoryjne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w kontekście celu projektu,</w:t>
            </w:r>
          </w:p>
          <w:p w:rsidR="001E50F4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poprawność, kompletność i spójność opisu sytuacji problemowej grupy docelowej projektu (oparta o wiarygodne dane), w tym jej potrzeb, oczekiwań i barier oraz charakterystyki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istotnych cech grupy docelowej.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doboru grupy docelowej w kontekście celu projektu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poprawność, kompletność i spójność opisu sytuacji problemowej grupy docelowej projektu (oparta o wiarygodne dane), w tym jej potrzeb, oczekiwań i barier oraz charakterystyki istotnych cech grupy docelowej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opis sposobu rekrutacji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0-6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 opisu sposobu rekrutacji podmiotów oraz uczestników/uczestniczek projektu,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założeń rekrutacji do skali zainteresowania planowanym wsparciem projektowym, wykazanym w oparciu o wiarygodne źródła danych. 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poprawność opisu sposobu rekrutacji podmiotów oraz uczestników/uczestniczek projektu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przedstawionego planu rekrutacji do podmiotów oraz uczestników/uczestniczek i charakteru projektu, zawierającego procedury rekrutacyjne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założeń rekrutacji do skali zainteresowania planowanym wsparciem projektowym, wykazanym w oparciu o wiarygodne źródła danych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:rsidR="001E50F4" w:rsidRPr="00D95B49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Punkty podlegają sumowaniu.</w:t>
            </w:r>
          </w:p>
          <w:p w:rsidR="008452D2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:rsidR="001E50F4" w:rsidRPr="00D95B49" w:rsidRDefault="001E50F4" w:rsidP="00744695">
            <w:pPr>
              <w:spacing w:after="120"/>
              <w:ind w:left="21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-10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pkt</w:t>
            </w:r>
            <w:proofErr w:type="spellEnd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Kryterium ma charakter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rozstrzygający – kolejność zastosowania 1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10492B" w:rsidRDefault="00757635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21134B" w:rsidRDefault="001E50F4" w:rsidP="00744695">
            <w:pPr>
              <w:pStyle w:val="Akapitzlist"/>
              <w:numPr>
                <w:ilvl w:val="0"/>
                <w:numId w:val="4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lastRenderedPageBreak/>
              <w:t>Adekwatność doboru zadań</w:t>
            </w:r>
          </w:p>
          <w:p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kryterium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obligatoryjne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82BA6" w:rsidRPr="00E3770D" w:rsidRDefault="00C82BA6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C82BA6" w:rsidRPr="00E3770D" w:rsidRDefault="00C82BA6" w:rsidP="00744695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770D">
              <w:rPr>
                <w:rFonts w:ascii="Arial" w:hAnsi="Arial" w:cs="Arial"/>
                <w:sz w:val="24"/>
                <w:szCs w:val="24"/>
              </w:rPr>
              <w:t>adekwatność doboru zadań (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0-8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770D">
              <w:rPr>
                <w:rFonts w:ascii="Arial" w:hAnsi="Arial" w:cs="Arial"/>
                <w:b/>
                <w:sz w:val="24"/>
                <w:szCs w:val="24"/>
              </w:rPr>
              <w:t>pkt</w:t>
            </w:r>
            <w:proofErr w:type="spellEnd"/>
            <w:r w:rsidRPr="00E3770D">
              <w:rPr>
                <w:rFonts w:ascii="Arial" w:hAnsi="Arial" w:cs="Arial"/>
                <w:sz w:val="24"/>
                <w:szCs w:val="24"/>
              </w:rPr>
              <w:t>), w tym: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zadań w kontekście osiągnięcia celu projektu, zdiagnozowanych problemów i potrzeb grupy docelowej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 opisu zakresu merytorycznego zadań (z uwzględnieniem rodzaju i charakteru wsparcia, liczby podmiotów, uczestników/uczestniczek zadań) wraz ze wskazaniem podmiotu realizującego działania w ram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 zadania,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spójność i logika zadań w kontekście celu projektu, zdiagnozowanych problemów i potrzeb grupy docelowej,</w:t>
            </w:r>
          </w:p>
          <w:p w:rsidR="001E50F4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doboru zadań w kontekście osiągnięcia celu projektu, zdiagnozowanych problemów i potrzeb grupy docelowej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poprawność opisu zakresu merytorycznego zadań wraz ze wskazaniem podmiotu realizującego działania w ramach zadania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spójność i logikę zadań w kontekście celu projektu, zdiagnozowanych problemów i potrzeb grupy docelowej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racjonalność harmonogramu realizacji projektu, w tym wskazanie terminów rozpoczęcia i zakończenia działań, kolejność realizowanych działań – 2 </w:t>
            </w:r>
            <w:proofErr w:type="spell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A8619D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b/>
                <w:color w:val="000000"/>
                <w:sz w:val="24"/>
                <w:lang w:eastAsia="pl-PL"/>
              </w:rPr>
            </w:pPr>
            <w:r w:rsidRPr="00A8619D">
              <w:rPr>
                <w:rFonts w:ascii="Arial" w:eastAsia="Arial" w:hAnsi="Arial" w:cs="Arial"/>
                <w:b/>
                <w:color w:val="000000"/>
                <w:sz w:val="24"/>
              </w:rPr>
              <w:t>Punkty w ramach kryterium podlegają sumowaniu.</w:t>
            </w:r>
          </w:p>
          <w:p w:rsidR="008452D2" w:rsidRPr="00E3770D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ramach oceny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ymagane jest uzyskanie minimum 4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pkt. </w:t>
            </w:r>
          </w:p>
          <w:p w:rsidR="001E50F4" w:rsidRPr="00E3770D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="003C00A5">
              <w:rPr>
                <w:rFonts w:ascii="Arial" w:eastAsia="Times New Roman" w:hAnsi="Arial" w:cs="Arial"/>
                <w:b/>
                <w:sz w:val="24"/>
                <w:szCs w:val="24"/>
              </w:rPr>
              <w:t>-8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pkt</w:t>
            </w:r>
            <w:proofErr w:type="spellEnd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Kryterium ma charakter rozstrzygający – kolejność zastosowania 3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21134B" w:rsidRDefault="001E50F4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Zdolność do efektywnej realizacji projektu</w:t>
            </w:r>
          </w:p>
          <w:p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poten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cjał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0-4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ramach </w:t>
            </w:r>
            <w:proofErr w:type="spell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subkryterium</w:t>
            </w:r>
            <w:proofErr w:type="spellEnd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ocenie podlega:</w:t>
            </w:r>
          </w:p>
          <w:p w:rsidR="001E50F4" w:rsidRPr="00D95B49" w:rsidRDefault="00FA17F9" w:rsidP="00744695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potencjał kadrowy W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:rsidR="001E50F4" w:rsidRDefault="001E50F4" w:rsidP="00744695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po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tencjał finansowy i techniczny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(zaplecze, pomieszczenia, sprzęt itp.) oraz opis sposobu jego wykorzystania w ramach projektu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="00991683" w:rsidRPr="00991683" w:rsidRDefault="00991683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 xml:space="preserve">Punkty w ramach tego </w:t>
            </w:r>
            <w:proofErr w:type="spellStart"/>
            <w:r w:rsidRPr="00991683">
              <w:rPr>
                <w:rFonts w:ascii="Arial" w:eastAsia="Arial" w:hAnsi="Arial" w:cs="Arial"/>
                <w:color w:val="000000"/>
                <w:sz w:val="24"/>
              </w:rPr>
              <w:t>subkryterium</w:t>
            </w:r>
            <w:proofErr w:type="spellEnd"/>
            <w:r w:rsidRPr="00991683">
              <w:rPr>
                <w:rFonts w:ascii="Arial" w:eastAsia="Arial" w:hAnsi="Arial" w:cs="Arial"/>
                <w:color w:val="000000"/>
                <w:sz w:val="24"/>
              </w:rPr>
              <w:t xml:space="preserve"> będą przyznawane w następujący sposób:</w:t>
            </w:r>
          </w:p>
          <w:p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 xml:space="preserve">Wnioskodawca/partner posiada potencjał kadrowy – 2 </w:t>
            </w:r>
            <w:proofErr w:type="spellStart"/>
            <w:r w:rsidRPr="00991683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991683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 xml:space="preserve">Wnioskodawca/partner posiada potencjał finansowy i techniczny – 2 </w:t>
            </w:r>
            <w:proofErr w:type="spellStart"/>
            <w:r w:rsidRPr="00991683">
              <w:rPr>
                <w:rFonts w:ascii="Arial" w:eastAsia="Arial" w:hAnsi="Arial" w:cs="Arial"/>
                <w:color w:val="000000"/>
                <w:sz w:val="24"/>
              </w:rPr>
              <w:t>pkt</w:t>
            </w:r>
            <w:proofErr w:type="spellEnd"/>
            <w:r w:rsidRPr="00991683">
              <w:rPr>
                <w:rFonts w:ascii="Arial" w:eastAsia="Arial" w:hAnsi="Arial" w:cs="Arial"/>
                <w:color w:val="000000"/>
                <w:sz w:val="24"/>
              </w:rPr>
              <w:t>,</w:t>
            </w:r>
          </w:p>
          <w:p w:rsidR="00991683" w:rsidRP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nie posiada potencjału w żadnym ze wskazanych obszarów – 0 pkt.</w:t>
            </w:r>
          </w:p>
          <w:p w:rsidR="00991683" w:rsidRPr="00991683" w:rsidRDefault="00991683" w:rsidP="00744695">
            <w:pPr>
              <w:spacing w:after="60"/>
              <w:rPr>
                <w:rFonts w:ascii="Arial" w:hAnsi="Arial" w:cs="Arial"/>
                <w:b/>
                <w:sz w:val="28"/>
                <w:szCs w:val="24"/>
                <w:lang w:eastAsia="pl-PL"/>
              </w:rPr>
            </w:pPr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Punkty w ramach tego </w:t>
            </w:r>
            <w:proofErr w:type="spellStart"/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>subkryterium</w:t>
            </w:r>
            <w:proofErr w:type="spellEnd"/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nie podlegają sumowaniu.</w:t>
            </w:r>
          </w:p>
          <w:p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doświadcz</w:t>
            </w:r>
            <w:r w:rsidR="0091375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enie 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0-6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 xml:space="preserve">W ramach </w:t>
            </w:r>
            <w:proofErr w:type="spellStart"/>
            <w:r w:rsidRPr="00D95B49">
              <w:rPr>
                <w:rFonts w:ascii="Arial" w:hAnsi="Arial" w:cs="Arial"/>
                <w:sz w:val="24"/>
                <w:szCs w:val="24"/>
              </w:rPr>
              <w:t>subkryterium</w:t>
            </w:r>
            <w:proofErr w:type="spellEnd"/>
            <w:r w:rsidRPr="00D95B49">
              <w:rPr>
                <w:rFonts w:ascii="Arial" w:hAnsi="Arial" w:cs="Arial"/>
                <w:sz w:val="24"/>
                <w:szCs w:val="24"/>
              </w:rPr>
              <w:t xml:space="preserve"> ocenie podlega 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doświadczenie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w obszarze (w okresie 5 lat poprzedzających złożenie wniosku o dofinansowanie):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 projektów w obszarze usług społecznych świadczonych w społeczności lokalnej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 działań na rzecz grupy docelowej, do której skierowany jest dany projekt,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realizacji działań </w:t>
            </w:r>
            <w:r w:rsidRPr="00D95B49">
              <w:rPr>
                <w:rFonts w:ascii="Arial" w:hAnsi="Arial" w:cs="Arial"/>
                <w:sz w:val="24"/>
                <w:szCs w:val="24"/>
              </w:rPr>
              <w:t xml:space="preserve">zbieżnych z zakresem wsparcia EFS+ 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na terytorium, na którym będzie realizowany dany projekt.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 xml:space="preserve">Punkty w ramach tego </w:t>
            </w:r>
            <w:proofErr w:type="spellStart"/>
            <w:r w:rsidRPr="00D95B49">
              <w:rPr>
                <w:rFonts w:ascii="Arial" w:hAnsi="Arial" w:cs="Arial"/>
                <w:sz w:val="24"/>
                <w:szCs w:val="24"/>
              </w:rPr>
              <w:t>subkryterium</w:t>
            </w:r>
            <w:proofErr w:type="spellEnd"/>
            <w:r w:rsidRPr="00D95B49">
              <w:rPr>
                <w:rFonts w:ascii="Arial" w:hAnsi="Arial" w:cs="Arial"/>
                <w:sz w:val="24"/>
                <w:szCs w:val="24"/>
              </w:rPr>
              <w:t xml:space="preserve"> będą przyznawane w następujący sposób: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nie posiada doświadczenia w żadnym ze wskazanych obszarów – 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proofErr w:type="spellStart"/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="008452D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jednym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>pkt</w:t>
            </w:r>
            <w:proofErr w:type="spellEnd"/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dwóch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>pkt</w:t>
            </w:r>
            <w:proofErr w:type="spellEnd"/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>nioskodawca/partner posiada doświadczenie w trzech wskazanych obszarach –</w:t>
            </w:r>
            <w:r w:rsidR="000740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>pkt</w:t>
            </w:r>
            <w:proofErr w:type="spellEnd"/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trzech wskazanych obszarach jednocześnie tj. realizował projekty w obszarze usług społecznych na rzecz grupy docelowej, do której kierowany jest projekt na terytorium, na którym będzie realizowany projekt – </w:t>
            </w:r>
            <w:r w:rsidR="003C00A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1E50F4" w:rsidRPr="00D95B49">
              <w:rPr>
                <w:rFonts w:ascii="Arial" w:eastAsia="Times New Roman" w:hAnsi="Arial"/>
                <w:sz w:val="24"/>
              </w:rPr>
              <w:tab/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Punkty w ramach 2. </w:t>
            </w:r>
            <w:proofErr w:type="spell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subkryterium</w:t>
            </w:r>
            <w:proofErr w:type="spell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nie podlegają sumowaniu.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Punkty w ramach kryterium podlegają sumowaniu. </w:t>
            </w:r>
          </w:p>
          <w:p w:rsidR="008452D2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-10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pkt</w:t>
            </w:r>
            <w:proofErr w:type="spellEnd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Kryterium ma charakter rozstrzygający – kolejność zastosowania 2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4B5467" w:rsidRPr="00D95B49" w:rsidTr="004B5467">
        <w:trPr>
          <w:trHeight w:val="652"/>
        </w:trPr>
        <w:tc>
          <w:tcPr>
            <w:tcW w:w="14142" w:type="dxa"/>
            <w:gridSpan w:val="5"/>
            <w:shd w:val="clear" w:color="auto" w:fill="auto"/>
            <w:vAlign w:val="center"/>
          </w:tcPr>
          <w:p w:rsidR="005D059B" w:rsidRDefault="005D059B" w:rsidP="004B546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B5467" w:rsidRPr="004B5467" w:rsidRDefault="004B5467" w:rsidP="004B546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B5467">
              <w:rPr>
                <w:rFonts w:ascii="Arial" w:eastAsia="Times New Roman" w:hAnsi="Arial" w:cs="Arial"/>
                <w:b/>
                <w:sz w:val="24"/>
                <w:szCs w:val="24"/>
              </w:rPr>
              <w:t>KRYTERIA PREMIUJĄCE</w:t>
            </w:r>
          </w:p>
        </w:tc>
      </w:tr>
      <w:tr w:rsidR="004B5467" w:rsidRPr="00D95B49" w:rsidTr="004B5467">
        <w:trPr>
          <w:trHeight w:val="704"/>
          <w:tblHeader/>
        </w:trPr>
        <w:tc>
          <w:tcPr>
            <w:tcW w:w="3114" w:type="dxa"/>
            <w:shd w:val="clear" w:color="auto" w:fill="FFC000"/>
            <w:vAlign w:val="center"/>
          </w:tcPr>
          <w:p w:rsidR="004B5467" w:rsidRPr="00D95B49" w:rsidRDefault="004B5467" w:rsidP="00491B4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095" w:type="dxa"/>
            <w:shd w:val="clear" w:color="auto" w:fill="FFC000"/>
            <w:vAlign w:val="center"/>
          </w:tcPr>
          <w:p w:rsidR="004B5467" w:rsidRPr="00D95B49" w:rsidRDefault="004B5467" w:rsidP="00491B4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274" w:type="dxa"/>
            <w:shd w:val="clear" w:color="auto" w:fill="FFC000"/>
            <w:vAlign w:val="center"/>
          </w:tcPr>
          <w:p w:rsidR="004B5467" w:rsidRPr="00D95B49" w:rsidRDefault="004B5467" w:rsidP="00491B4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695" w:type="dxa"/>
            <w:shd w:val="clear" w:color="auto" w:fill="FFC000"/>
            <w:vAlign w:val="center"/>
          </w:tcPr>
          <w:p w:rsidR="004B5467" w:rsidRPr="00D95B49" w:rsidRDefault="004B5467" w:rsidP="00491B4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:rsidR="004B5467" w:rsidRPr="00D95B49" w:rsidRDefault="004B5467" w:rsidP="00491B4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waga</w:t>
            </w:r>
          </w:p>
        </w:tc>
      </w:tr>
      <w:tr w:rsidR="000740FC" w:rsidRPr="00D95B49" w:rsidTr="00C82BA6">
        <w:tc>
          <w:tcPr>
            <w:tcW w:w="3114" w:type="dxa"/>
            <w:shd w:val="clear" w:color="auto" w:fill="auto"/>
            <w:vAlign w:val="center"/>
          </w:tcPr>
          <w:p w:rsidR="000740FC" w:rsidRPr="00757635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Wpływ projektu na Obszary Strategicznej Interwencji</w:t>
            </w:r>
          </w:p>
          <w:p w:rsidR="000740FC" w:rsidRPr="00757635" w:rsidRDefault="000740FC" w:rsidP="00744695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 xml:space="preserve">(kryterium </w:t>
            </w:r>
            <w:r w:rsidR="003B1CCA" w:rsidRPr="00757635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rekomendowane</w:t>
            </w:r>
            <w:r w:rsidRPr="00757635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740FC" w:rsidRPr="00757635" w:rsidRDefault="000740FC" w:rsidP="00744695">
            <w:pPr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W ramach kryterium ocenie podlega, czy w projekcie przewidziano realizację działań na terenie </w:t>
            </w:r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pl-PL"/>
              </w:rPr>
              <w:t>miast średnich tracących funkcje społeczno-gospodarcze lub gmin zmarginalizowanych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 wskazanych w krajowych i regionalnych dokumentach strategicznych: Krajowej Strategii Rozwoju Regionalnego (KSRR) oraz Strategii Rozwoju Województwa  „Małopolska 2030” (SRWM).</w:t>
            </w:r>
          </w:p>
          <w:p w:rsidR="000740FC" w:rsidRPr="00757635" w:rsidRDefault="000740FC" w:rsidP="00744695">
            <w:pPr>
              <w:numPr>
                <w:ilvl w:val="0"/>
                <w:numId w:val="9"/>
              </w:numPr>
              <w:spacing w:after="120"/>
              <w:rPr>
                <w:rFonts w:ascii="Arial" w:eastAsia="Times New Roman" w:hAnsi="Arial" w:cs="Calibri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 xml:space="preserve"> – przyznaje się, gdy projekt przewiduje realizację działań na terenie co najmniej jednego ww. miasta lub gminy</w:t>
            </w:r>
            <w:r w:rsidR="008452D2"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>,</w:t>
            </w:r>
          </w:p>
          <w:p w:rsidR="000740FC" w:rsidRPr="00757635" w:rsidRDefault="000740FC" w:rsidP="00744695">
            <w:pPr>
              <w:numPr>
                <w:ilvl w:val="0"/>
                <w:numId w:val="9"/>
              </w:numPr>
              <w:spacing w:after="120"/>
              <w:rPr>
                <w:rFonts w:ascii="Arial" w:hAnsi="Arial"/>
                <w:strike/>
                <w:color w:val="FF0000"/>
                <w:sz w:val="24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 xml:space="preserve"> – przyznaje się, gdy projekt nie spełnia ww. warunku</w:t>
            </w:r>
            <w:r w:rsidR="008452D2"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>.</w:t>
            </w:r>
            <w:r w:rsidRPr="00757635">
              <w:rPr>
                <w:rFonts w:ascii="Arial" w:eastAsia="Times New Roman" w:hAnsi="Arial"/>
                <w:b/>
                <w:bCs/>
                <w:strike/>
                <w:color w:val="FF0000"/>
                <w:sz w:val="24"/>
              </w:rPr>
              <w:t xml:space="preserve">  </w:t>
            </w: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> </w:t>
            </w:r>
          </w:p>
          <w:p w:rsidR="000740FC" w:rsidRPr="00757635" w:rsidRDefault="000740FC" w:rsidP="00744695">
            <w:pPr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lang w:eastAsia="pl-PL"/>
              </w:rPr>
              <w:t xml:space="preserve">Przyznanie 0 </w:t>
            </w:r>
            <w:proofErr w:type="spellStart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lang w:eastAsia="pl-PL"/>
              </w:rPr>
              <w:t>pkt</w:t>
            </w:r>
            <w:proofErr w:type="spellEnd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lang w:eastAsia="pl-PL"/>
              </w:rPr>
              <w:t xml:space="preserve"> nie eliminuje projektu z dalszej oceny.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0740FC" w:rsidRPr="00757635" w:rsidRDefault="000740FC" w:rsidP="00744695">
            <w:pPr>
              <w:tabs>
                <w:tab w:val="left" w:pos="900"/>
              </w:tabs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Lista miast średnich tracących funkcje społeczno-gospodarcze oraz gmin zmarginalizowanych </w:t>
            </w:r>
            <w:r w:rsidR="00A5383C"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>zostanie wskazana w R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egulaminie </w:t>
            </w:r>
            <w:r w:rsidR="00A5383C"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>naboru wniosków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0740FC" w:rsidRPr="00757635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Kryterium premiujące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 – spełnienie kryterium nie jest konieczne do przyznania dofinansowania.</w:t>
            </w:r>
          </w:p>
          <w:p w:rsidR="000740FC" w:rsidRPr="00757635" w:rsidRDefault="000740FC" w:rsidP="00744695">
            <w:pPr>
              <w:spacing w:after="12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 xml:space="preserve">Kryterium wyrażone punktowo (0 </w:t>
            </w:r>
            <w:proofErr w:type="spellStart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pkt</w:t>
            </w:r>
            <w:proofErr w:type="spellEnd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 xml:space="preserve">, 2 </w:t>
            </w:r>
            <w:proofErr w:type="spellStart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pkt</w:t>
            </w:r>
            <w:proofErr w:type="spellEnd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).</w:t>
            </w:r>
          </w:p>
          <w:p w:rsidR="00E51456" w:rsidRPr="00757635" w:rsidRDefault="00E51456" w:rsidP="00744695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740FC" w:rsidRPr="00757635" w:rsidRDefault="00C019C9" w:rsidP="00744695">
            <w:pPr>
              <w:spacing w:after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:rsidTr="00C82BA6">
        <w:tc>
          <w:tcPr>
            <w:tcW w:w="3114" w:type="dxa"/>
            <w:shd w:val="clear" w:color="auto" w:fill="auto"/>
            <w:vAlign w:val="center"/>
          </w:tcPr>
          <w:p w:rsidR="000740FC" w:rsidRPr="00757635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Wykorzystanie w projekcie doświadczeń z innych krajów europejskich lub innych regionów europejskich</w:t>
            </w:r>
          </w:p>
          <w:p w:rsidR="000740FC" w:rsidRPr="00757635" w:rsidRDefault="0021134B" w:rsidP="00744695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rekomendowane)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32CC" w:rsidRPr="00757635" w:rsidRDefault="004132C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W ramach kryterium ocenie podlega, czy w projekcie przewidziano wykorzystanie doświadczeń (dobrych praktyk, modeli, narzędzi) w zakresie realizacji zbliżonych, analogicznych programów z zakresu usług społecznych świadczonych w społeczności lokalnej z innych krajów europejskich lub z innych regionów europejskich. </w:t>
            </w:r>
          </w:p>
          <w:p w:rsidR="000740FC" w:rsidRPr="00757635" w:rsidRDefault="000740FC" w:rsidP="007446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>– przyznaje się, gdy projekt przewiduje wykorzystanie doświadczeń w zakresie realizacji zbliżonych, analogicznych programów z zakresu usług społecznych świadczonych w społeczności lokalnej z innych krajów europejskich lub</w:t>
            </w:r>
            <w:r w:rsidR="008452D2"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 z innych regionów europejskich,</w:t>
            </w:r>
          </w:p>
          <w:p w:rsidR="000740FC" w:rsidRPr="00757635" w:rsidRDefault="000740FC" w:rsidP="007446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>– przyznaje się, gdy projekt nie spełnia ww. warunku</w:t>
            </w: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. </w:t>
            </w:r>
          </w:p>
          <w:p w:rsidR="000740FC" w:rsidRPr="00757635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3"/>
                <w:szCs w:val="23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 nie eliminuje projektu z dalszej oceny</w:t>
            </w: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 xml:space="preserve">. </w:t>
            </w:r>
          </w:p>
        </w:tc>
        <w:tc>
          <w:tcPr>
            <w:tcW w:w="2274" w:type="dxa"/>
            <w:vAlign w:val="center"/>
          </w:tcPr>
          <w:p w:rsidR="000740FC" w:rsidRPr="00757635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3"/>
                <w:szCs w:val="23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 xml:space="preserve">Kryterium premiujące </w:t>
            </w:r>
            <w:r w:rsidRPr="00757635">
              <w:rPr>
                <w:rFonts w:ascii="Arial" w:eastAsia="Times New Roman" w:hAnsi="Arial" w:cs="Arial"/>
                <w:strike/>
                <w:color w:val="FF0000"/>
                <w:sz w:val="23"/>
                <w:szCs w:val="23"/>
                <w:lang w:eastAsia="pl-PL"/>
              </w:rPr>
              <w:t xml:space="preserve">– spełnienie kryterium nie jest konieczne do przyznania dofinansowania. </w:t>
            </w:r>
          </w:p>
          <w:p w:rsidR="000740FC" w:rsidRPr="00757635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 xml:space="preserve">Kryterium wyrażone punktowo (0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 xml:space="preserve">, 1 </w:t>
            </w:r>
            <w:proofErr w:type="spellStart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bCs/>
                <w:strike/>
                <w:color w:val="FF0000"/>
                <w:sz w:val="23"/>
                <w:szCs w:val="23"/>
                <w:lang w:eastAsia="pl-PL"/>
              </w:rPr>
              <w:t>).</w:t>
            </w:r>
          </w:p>
          <w:p w:rsidR="00E51456" w:rsidRPr="00757635" w:rsidRDefault="00E51456" w:rsidP="00744695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740FC" w:rsidRPr="00757635" w:rsidRDefault="00C019C9" w:rsidP="00744695">
            <w:pPr>
              <w:spacing w:after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:rsidTr="00C82BA6">
        <w:tc>
          <w:tcPr>
            <w:tcW w:w="3114" w:type="dxa"/>
            <w:shd w:val="clear" w:color="auto" w:fill="auto"/>
            <w:vAlign w:val="center"/>
          </w:tcPr>
          <w:p w:rsidR="000740FC" w:rsidRPr="00757635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Wykorzystanie rozwiązań innowacyjnych PO KL oraz PO WER</w:t>
            </w:r>
          </w:p>
          <w:p w:rsidR="000740FC" w:rsidRPr="00757635" w:rsidRDefault="000740FC" w:rsidP="00744695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rekomendowane)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740FC" w:rsidRPr="00757635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  <w:t>W ramach kryterium ocenie podlega czy projekt przewiduje wdrożenie:</w:t>
            </w:r>
          </w:p>
          <w:p w:rsidR="000740FC" w:rsidRPr="00757635" w:rsidRDefault="000740FC" w:rsidP="0074469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proofErr w:type="spellStart"/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>zwalidowanych</w:t>
            </w:r>
            <w:proofErr w:type="spellEnd"/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 rozwiązań innowacyjnych Programu Operacyjnego Kapitał Ludzki dostępnych w bazie Krajowej Instytucji Wspomagającej (</w:t>
            </w:r>
            <w:hyperlink r:id="rId8" w:history="1">
              <w:r w:rsidRPr="00757635">
                <w:rPr>
                  <w:rFonts w:ascii="Arial" w:eastAsia="+mn-ea" w:hAnsi="Arial" w:cs="Arial"/>
                  <w:b/>
                  <w:bCs/>
                  <w:strike/>
                  <w:color w:val="FF0000"/>
                  <w:kern w:val="24"/>
                  <w:sz w:val="24"/>
                  <w:szCs w:val="24"/>
                  <w:u w:val="single"/>
                </w:rPr>
                <w:t>PO KL</w:t>
              </w:r>
            </w:hyperlink>
            <w:r w:rsidRPr="00757635">
              <w:rPr>
                <w:rFonts w:ascii="Arial" w:eastAsia="+mn-ea" w:hAnsi="Arial" w:cs="Arial"/>
                <w:b/>
                <w:bCs/>
                <w:strike/>
                <w:color w:val="FF0000"/>
                <w:kern w:val="24"/>
                <w:sz w:val="24"/>
                <w:szCs w:val="24"/>
                <w:u w:val="single"/>
              </w:rPr>
              <w:t>)</w:t>
            </w:r>
          </w:p>
          <w:p w:rsidR="000740FC" w:rsidRPr="00757635" w:rsidRDefault="000740FC" w:rsidP="00744695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lub </w:t>
            </w:r>
          </w:p>
          <w:p w:rsidR="000740FC" w:rsidRPr="00757635" w:rsidRDefault="000740FC" w:rsidP="0074469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>przetestowanych i skierowanych do upowszechnienia rozwiązań innowacyjnych Programu Operacyjnego Wiedza Edukacja Rozwój, co do których źródła</w:t>
            </w:r>
            <w:r w:rsidR="00A5383C"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 informacji zostaną wskazane w R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>egulaminie naboru</w:t>
            </w:r>
            <w:r w:rsidR="00A5383C"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 wniosków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>:</w:t>
            </w:r>
          </w:p>
          <w:p w:rsidR="000740FC" w:rsidRPr="00757635" w:rsidRDefault="000740FC" w:rsidP="0074469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projekt przewiduje wdrożenie  ww. rozwiązania innowacyjnego Programu Operacyjnego Kapitał Ludzki lub Programu Operacyjnego Wiedza Edukacja Rozwój – </w:t>
            </w:r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 xml:space="preserve">2 </w:t>
            </w:r>
            <w:proofErr w:type="spellStart"/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pkt</w:t>
            </w:r>
            <w:proofErr w:type="spellEnd"/>
            <w:r w:rsidR="008452D2"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,</w:t>
            </w:r>
          </w:p>
          <w:p w:rsidR="000740FC" w:rsidRPr="00757635" w:rsidRDefault="000740FC" w:rsidP="0074469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 xml:space="preserve">projekt nie przewiduje wdrożenia  ww. rozwiązania innowacyjnego Programu Operacyjnego Kapitał Ludzki lub Programu Operacyjnego Wiedza Edukacja Rozwój – </w:t>
            </w:r>
            <w:r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0 pkt</w:t>
            </w:r>
            <w:r w:rsidR="008452D2" w:rsidRPr="00757635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.</w:t>
            </w:r>
          </w:p>
          <w:p w:rsidR="000740FC" w:rsidRPr="00757635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757635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  <w:lang w:eastAsia="pl-PL"/>
              </w:rPr>
              <w:t>pkt</w:t>
            </w:r>
            <w:proofErr w:type="spellEnd"/>
            <w:r w:rsidRPr="00757635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  <w:lang w:eastAsia="pl-PL"/>
              </w:rPr>
              <w:t xml:space="preserve"> nie eliminuje projektu z dalszej oceny.</w:t>
            </w:r>
          </w:p>
        </w:tc>
        <w:tc>
          <w:tcPr>
            <w:tcW w:w="2274" w:type="dxa"/>
            <w:vAlign w:val="center"/>
          </w:tcPr>
          <w:p w:rsidR="000740FC" w:rsidRPr="00757635" w:rsidRDefault="000740FC" w:rsidP="00744695">
            <w:pPr>
              <w:autoSpaceDE w:val="0"/>
              <w:autoSpaceDN w:val="0"/>
              <w:spacing w:after="0"/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Kryterium premiujące</w:t>
            </w:r>
            <w:r w:rsidRPr="00757635">
              <w:rPr>
                <w:rFonts w:ascii="Arial" w:hAnsi="Arial" w:cs="Arial"/>
                <w:strike/>
                <w:color w:val="FF0000"/>
                <w:sz w:val="24"/>
                <w:szCs w:val="24"/>
                <w:lang w:eastAsia="pl-PL"/>
              </w:rPr>
              <w:t xml:space="preserve"> – spełnienie kryterium nie jest konieczne do przyznania dofinansowania.</w:t>
            </w:r>
          </w:p>
          <w:p w:rsidR="000740FC" w:rsidRPr="00757635" w:rsidRDefault="000740FC" w:rsidP="007446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</w:p>
          <w:p w:rsidR="00E51456" w:rsidRPr="00757635" w:rsidRDefault="000740FC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 xml:space="preserve">Kryterium wyrażone punktowo (0 </w:t>
            </w:r>
            <w:proofErr w:type="spellStart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pkt</w:t>
            </w:r>
            <w:proofErr w:type="spellEnd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 xml:space="preserve">, 2 </w:t>
            </w:r>
            <w:proofErr w:type="spellStart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pkt</w:t>
            </w:r>
            <w:proofErr w:type="spellEnd"/>
            <w:r w:rsidRPr="00757635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).</w:t>
            </w:r>
          </w:p>
          <w:p w:rsidR="00E51456" w:rsidRPr="00757635" w:rsidRDefault="00E51456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</w:p>
          <w:p w:rsidR="00E51456" w:rsidRPr="00757635" w:rsidRDefault="00E51456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740FC" w:rsidRPr="00757635" w:rsidRDefault="00C019C9" w:rsidP="00744695">
            <w:pPr>
              <w:spacing w:after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</w:pPr>
            <w:r w:rsidRPr="00757635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:rsidTr="00C82BA6">
        <w:tc>
          <w:tcPr>
            <w:tcW w:w="3114" w:type="dxa"/>
            <w:shd w:val="clear" w:color="auto" w:fill="auto"/>
            <w:vAlign w:val="center"/>
          </w:tcPr>
          <w:p w:rsidR="000740FC" w:rsidRPr="0021134B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Preferencje realizacji usług przez PES</w:t>
            </w:r>
          </w:p>
          <w:p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Punkty w ramach kryterium przyznaje się następująco:</w:t>
            </w:r>
          </w:p>
          <w:p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w partnerstwie przez administrację publiczną i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przez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0740FC" w:rsidRPr="004C26DE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gdy projekt nie spełnia wymienionych warunków –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23749F" w:rsidRPr="00991683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color w:val="2F5496"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 xml:space="preserve">Przyznanie 0 </w:t>
            </w:r>
            <w:proofErr w:type="spellStart"/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>pkt</w:t>
            </w:r>
            <w:proofErr w:type="spellEnd"/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 xml:space="preserve"> nie eliminuje projektu z dalszej oceny.</w:t>
            </w:r>
          </w:p>
        </w:tc>
        <w:tc>
          <w:tcPr>
            <w:tcW w:w="2274" w:type="dxa"/>
            <w:vAlign w:val="center"/>
          </w:tcPr>
          <w:p w:rsidR="000740FC" w:rsidRPr="004C26DE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:rsidR="000740FC" w:rsidRDefault="000740FC" w:rsidP="007446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Kryte</w:t>
            </w:r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rium wyrażone punktowo (0 </w:t>
            </w:r>
            <w:proofErr w:type="spellStart"/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3 </w:t>
            </w:r>
            <w:proofErr w:type="spellStart"/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, 4</w:t>
            </w: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40FC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</w:t>
            </w:r>
          </w:p>
          <w:p w:rsidR="0023749F" w:rsidRPr="00E3770D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  <w:p w:rsidR="0021134B" w:rsidRPr="00E3770D" w:rsidRDefault="00E3770D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E3770D">
              <w:rPr>
                <w:rFonts w:ascii="Arial" w:hAnsi="Arial" w:cs="Arial"/>
                <w:i/>
                <w:sz w:val="20"/>
              </w:rPr>
              <w:t>[</w:t>
            </w:r>
            <w:r w:rsidR="0021134B" w:rsidRPr="00E3770D">
              <w:rPr>
                <w:rFonts w:ascii="Arial" w:hAnsi="Arial" w:cs="Arial"/>
                <w:i/>
                <w:sz w:val="20"/>
              </w:rPr>
              <w:t>Należy dostosować wartości adekwatnie do diagnozy LGD</w:t>
            </w:r>
            <w:r w:rsidRPr="00E3770D">
              <w:rPr>
                <w:rFonts w:ascii="Arial" w:hAnsi="Arial" w:cs="Arial"/>
                <w:i/>
                <w:sz w:val="20"/>
              </w:rPr>
              <w:t>]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 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przewiduje utworzenie placówki zapewniającej dzienną opiekę, mającej siedzibę i/lub filię na terenie gminy, w której liczba osób objętych usługami opiekuńczymi, usługami opiekuńczymi w miejscu zamieszkania, w tym specjalistycznymi, a także specjalistycznymi usługami opiekuńczymi dla osób z zaburzeniami psychicznymi nie przekracza 10 osób i na terenie tej gminy nie funkcjonuje  placówka zapewniająca dzienną opiekę:</w:t>
            </w:r>
          </w:p>
          <w:p w:rsid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utworzenie placówki mającej siedzibę i/lub filię na terenie gminy, w której liczba osób objętych usługami opiekuńczymi, usługami opiekuńczymi w miejscu zamieszkania, w tym specjalistycznymi, a także specjalistycznymi usługami opiekuńczymi dla osób z zaburzeniami psychicznymi  nie przekracza 10 osób i na terenie tej gminy nie funkcjonuje placówka zapewniająca dzienną opiekę –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spełnia powyższych warunków </w:t>
            </w:r>
            <w:r w:rsidRP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– 0 pkt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eliminuje projektu z oceny.</w:t>
            </w:r>
          </w:p>
        </w:tc>
        <w:tc>
          <w:tcPr>
            <w:tcW w:w="2274" w:type="dxa"/>
            <w:vAlign w:val="center"/>
          </w:tcPr>
          <w:p w:rsidR="008452D2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102F6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4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10492B" w:rsidRDefault="00271304" w:rsidP="00744695">
            <w:pPr>
              <w:spacing w:after="12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 na obszarach o wysokim zapotrzebowaniu na usługi opiekuńcze</w:t>
            </w:r>
          </w:p>
          <w:p w:rsidR="0023749F" w:rsidRPr="00E3770D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  <w:p w:rsidR="0021134B" w:rsidRPr="00D95B49" w:rsidRDefault="00E3770D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hAnsi="Arial" w:cs="Arial"/>
                <w:i/>
                <w:sz w:val="20"/>
              </w:rPr>
              <w:t>[Należy dostosować wartości adekwatnie do diagnozy LGD]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wsparcie placówki zapewniającej dzienną opiekę dla osób starszych na terenie gminy, w której odsetek osób w wieku 75 lat i więcej przekracza średnią dla województwa: </w:t>
            </w:r>
          </w:p>
          <w:p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wsparcie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przewiduje wsparcia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eliminuje projektu z oceny.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4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wsparcia opiekunów nieformalnych</w:t>
            </w:r>
          </w:p>
          <w:p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utworzenie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Centrum Wsparcia Opiekunów Nieformalnych na terenie powiatu, w którym taka placówka nie funkcjonuje: </w:t>
            </w:r>
          </w:p>
          <w:p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utworzenie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przewiduje utworzenia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powiatów,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4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E3770D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 xml:space="preserve">Kompleksowość wparcia opiekunów 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>nieformalnych</w:t>
            </w:r>
          </w:p>
          <w:p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przewidujący wsparcie opiekunów nieformalnych zawiera któryś z wymienionych niżej elementów:</w:t>
            </w:r>
          </w:p>
          <w:p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usługi opieki </w:t>
            </w:r>
            <w:proofErr w:type="spellStart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wytchnieniowej</w:t>
            </w:r>
            <w:proofErr w:type="spell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umożliwiające czasowe całodobowe przebywanie osoby potrzebującej wsparcia w codziennym funkcjonowaniu pod profesjonalną opieką w przypadku okresowego braku możliwości sprawowania opieki przez jej opiekuna nieformalnego lub potrzeby odpoczynku opiekuna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wielokierunkowe wsparcie w trybie pilnym osób wymagających opieki w miejscu zamieszkania i ich opiekunów, po pobycie w szpitalu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ułatwienia w dostępie opiekunów nieformalnych do sprzętu pielęgnacyjnego, rehabilitacyjnego i medycznego w połączeniu z nauką obsługi sprzętu i doradztwem w zakresie jego wykorzystania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co najmniej dwóch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jednego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przyznaje się, jeżeli projekt nie przewiduje realizacji żadnego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991683" w:rsidRDefault="0023749F" w:rsidP="00744695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2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Kompleksowość wsparcia projektów dotyczących rozszerzania oferty domów pomocy społecznej o usługi świadczone w społeczności lokalnej</w:t>
            </w:r>
          </w:p>
          <w:p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dotyczący rozszerzania oferty domów pomocy społecznej o usługi świadczone w społeczności lokalnej, zawiera co najmniej dwa z wymienionych niżej elementów (zgodnie z warunkami wskazanymi w zał. nr 2 do wytycznych EFS+):</w:t>
            </w:r>
          </w:p>
          <w:p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</w:t>
            </w:r>
            <w:r w:rsidR="0023749F"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ealizacja i koordynacja usług środowiskowych dla osób niezamieszkujących w placówce (np. usług opiekuńczych, specjalistycznych, sąsiedzkich)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miejsc pobytu dziennego wraz z usługami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5C2A4B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mieszkalnictwa treningowego i wspomaganego</w:t>
            </w: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przekształcenie miejsc opieki instytucjonalnej w miejsca opieki </w:t>
            </w:r>
            <w:proofErr w:type="spellStart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wytchnieniowej</w:t>
            </w:r>
            <w:proofErr w:type="spellEnd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(krótkookresowego pobytu całodobowego)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udostępnienie osobom niezamieszkującym DPS zasobów (pomieszczeń terapeutycznych lub pomieszczeń służących rehabilitacji wraz z niezbędnym wyposażeniem)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działania ukierunkowane na usamodzielnienie mieszkańców DPS przez realizację indywidualnych planów usamodzielnienia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co najmniej dwóch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przyznaje się, jeżeli projekt przewiduje realizację jednego lub  nie przewiduje realizacji żadnego ze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Przyznanie 0 </w:t>
            </w:r>
            <w:proofErr w:type="spellStart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eliminuje projektu z oceny.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2 </w:t>
            </w:r>
            <w:proofErr w:type="spellStart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proofErr w:type="spellEnd"/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E514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10492B" w:rsidRDefault="00271304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049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</w:tbl>
    <w:p w:rsidR="00D10B60" w:rsidRDefault="00D10B60" w:rsidP="00D10B60">
      <w:pPr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:rsidR="0038794B" w:rsidRPr="00E26BD8" w:rsidRDefault="00D10B60" w:rsidP="00E26BD8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="004B5467">
        <w:rPr>
          <w:rFonts w:ascii="Arial" w:hAnsi="Arial" w:cs="Arial"/>
          <w:b/>
        </w:rPr>
        <w:t xml:space="preserve"> </w:t>
      </w:r>
      <w:r w:rsidR="004B5467" w:rsidRPr="004B5467">
        <w:rPr>
          <w:rFonts w:ascii="Arial" w:hAnsi="Arial" w:cs="Arial"/>
          <w:b/>
          <w:color w:val="FF0000"/>
        </w:rPr>
        <w:t>10</w:t>
      </w:r>
      <w:r w:rsidRPr="004B5467">
        <w:rPr>
          <w:rFonts w:ascii="Arial" w:hAnsi="Arial" w:cs="Arial"/>
          <w:b/>
          <w:color w:val="FF0000"/>
        </w:rPr>
        <w:t xml:space="preserve"> punktów.</w:t>
      </w:r>
    </w:p>
    <w:sectPr w:rsidR="0038794B" w:rsidRPr="00E26BD8" w:rsidSect="005A0B6D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14" w:rsidRDefault="00201D14">
      <w:pPr>
        <w:spacing w:after="0" w:line="240" w:lineRule="auto"/>
      </w:pPr>
      <w:r>
        <w:separator/>
      </w:r>
    </w:p>
  </w:endnote>
  <w:endnote w:type="continuationSeparator" w:id="0">
    <w:p w:rsidR="00201D14" w:rsidRDefault="002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4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417CF" w:rsidRDefault="003417CF">
            <w:pPr>
              <w:pStyle w:val="Stopka"/>
              <w:jc w:val="right"/>
            </w:pPr>
            <w:r w:rsidRPr="0031420A">
              <w:rPr>
                <w:sz w:val="20"/>
              </w:rPr>
              <w:t xml:space="preserve">Strona </w:t>
            </w:r>
            <w:r w:rsidR="001A671D"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PAGE</w:instrText>
            </w:r>
            <w:r w:rsidR="001A671D" w:rsidRPr="0031420A">
              <w:rPr>
                <w:b/>
                <w:bCs/>
                <w:sz w:val="20"/>
              </w:rPr>
              <w:fldChar w:fldCharType="separate"/>
            </w:r>
            <w:r w:rsidR="0010492B">
              <w:rPr>
                <w:b/>
                <w:bCs/>
                <w:noProof/>
                <w:sz w:val="20"/>
              </w:rPr>
              <w:t>2</w:t>
            </w:r>
            <w:r w:rsidR="001A671D" w:rsidRPr="0031420A">
              <w:rPr>
                <w:b/>
                <w:bCs/>
                <w:sz w:val="20"/>
              </w:rPr>
              <w:fldChar w:fldCharType="end"/>
            </w:r>
            <w:r w:rsidRPr="0031420A">
              <w:rPr>
                <w:sz w:val="20"/>
              </w:rPr>
              <w:t xml:space="preserve"> z </w:t>
            </w:r>
            <w:r w:rsidR="001A671D"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NUMPAGES</w:instrText>
            </w:r>
            <w:r w:rsidR="001A671D" w:rsidRPr="0031420A">
              <w:rPr>
                <w:b/>
                <w:bCs/>
                <w:sz w:val="20"/>
              </w:rPr>
              <w:fldChar w:fldCharType="separate"/>
            </w:r>
            <w:r w:rsidR="0010492B">
              <w:rPr>
                <w:b/>
                <w:bCs/>
                <w:noProof/>
                <w:sz w:val="20"/>
              </w:rPr>
              <w:t>18</w:t>
            </w:r>
            <w:r w:rsidR="001A671D" w:rsidRPr="0031420A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72DD6" w:rsidRDefault="00072D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693784"/>
      <w:docPartObj>
        <w:docPartGallery w:val="Page Numbers (Bottom of Page)"/>
        <w:docPartUnique/>
      </w:docPartObj>
    </w:sdtPr>
    <w:sdtContent>
      <w:sdt>
        <w:sdtPr>
          <w:id w:val="-215125177"/>
          <w:docPartObj>
            <w:docPartGallery w:val="Page Numbers (Top of Page)"/>
            <w:docPartUnique/>
          </w:docPartObj>
        </w:sdtPr>
        <w:sdtContent>
          <w:p w:rsidR="005A0B6D" w:rsidRDefault="005A0B6D">
            <w:pPr>
              <w:pStyle w:val="Stopka"/>
              <w:jc w:val="right"/>
            </w:pPr>
            <w:r w:rsidRPr="005A0B6D">
              <w:rPr>
                <w:sz w:val="20"/>
              </w:rPr>
              <w:t xml:space="preserve">Strona </w:t>
            </w:r>
            <w:r w:rsidR="001A671D"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PAGE</w:instrText>
            </w:r>
            <w:r w:rsidR="001A671D" w:rsidRPr="005A0B6D">
              <w:rPr>
                <w:b/>
                <w:bCs/>
                <w:sz w:val="20"/>
              </w:rPr>
              <w:fldChar w:fldCharType="separate"/>
            </w:r>
            <w:r w:rsidR="0010492B">
              <w:rPr>
                <w:b/>
                <w:bCs/>
                <w:noProof/>
                <w:sz w:val="20"/>
              </w:rPr>
              <w:t>1</w:t>
            </w:r>
            <w:r w:rsidR="001A671D" w:rsidRPr="005A0B6D">
              <w:rPr>
                <w:b/>
                <w:bCs/>
                <w:sz w:val="20"/>
              </w:rPr>
              <w:fldChar w:fldCharType="end"/>
            </w:r>
            <w:r w:rsidRPr="005A0B6D">
              <w:rPr>
                <w:sz w:val="20"/>
              </w:rPr>
              <w:t xml:space="preserve"> z </w:t>
            </w:r>
            <w:r w:rsidR="001A671D"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NUMPAGES</w:instrText>
            </w:r>
            <w:r w:rsidR="001A671D" w:rsidRPr="005A0B6D">
              <w:rPr>
                <w:b/>
                <w:bCs/>
                <w:sz w:val="20"/>
              </w:rPr>
              <w:fldChar w:fldCharType="separate"/>
            </w:r>
            <w:r w:rsidR="0010492B">
              <w:rPr>
                <w:b/>
                <w:bCs/>
                <w:noProof/>
                <w:sz w:val="20"/>
              </w:rPr>
              <w:t>18</w:t>
            </w:r>
            <w:r w:rsidR="001A671D" w:rsidRPr="005A0B6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A0B6D" w:rsidRDefault="005A0B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14" w:rsidRDefault="00201D14">
      <w:pPr>
        <w:spacing w:after="0" w:line="240" w:lineRule="auto"/>
      </w:pPr>
      <w:r>
        <w:separator/>
      </w:r>
    </w:p>
  </w:footnote>
  <w:footnote w:type="continuationSeparator" w:id="0">
    <w:p w:rsidR="00201D14" w:rsidRDefault="002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EE" w:rsidRDefault="005539EE" w:rsidP="005539E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D6" w:rsidRDefault="005A0B6D" w:rsidP="005A0B6D">
    <w:pPr>
      <w:pStyle w:val="Nagwek"/>
      <w:spacing w:after="0"/>
      <w:jc w:val="center"/>
    </w:pPr>
    <w:r>
      <w:rPr>
        <w:noProof/>
        <w:lang w:eastAsia="pl-PL"/>
      </w:rPr>
      <w:drawing>
        <wp:inline distT="0" distB="0" distL="0" distR="0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6735B"/>
    <w:multiLevelType w:val="hybridMultilevel"/>
    <w:tmpl w:val="6B168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3210C"/>
    <w:multiLevelType w:val="hybridMultilevel"/>
    <w:tmpl w:val="10D4F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8">
    <w:nsid w:val="1DC6741A"/>
    <w:multiLevelType w:val="hybridMultilevel"/>
    <w:tmpl w:val="B3D0E9A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1E0F65ED"/>
    <w:multiLevelType w:val="hybridMultilevel"/>
    <w:tmpl w:val="FBC40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25978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43FF51E6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6D5CFC"/>
    <w:multiLevelType w:val="hybridMultilevel"/>
    <w:tmpl w:val="94F8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839C7"/>
    <w:multiLevelType w:val="hybridMultilevel"/>
    <w:tmpl w:val="964C768C"/>
    <w:lvl w:ilvl="0" w:tplc="D8D622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24EB0"/>
    <w:multiLevelType w:val="hybridMultilevel"/>
    <w:tmpl w:val="DFB0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5249A"/>
    <w:multiLevelType w:val="hybridMultilevel"/>
    <w:tmpl w:val="9EFC9F0A"/>
    <w:lvl w:ilvl="0" w:tplc="9E0251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FC26BB"/>
    <w:multiLevelType w:val="hybridMultilevel"/>
    <w:tmpl w:val="F6CEB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C6285"/>
    <w:multiLevelType w:val="hybridMultilevel"/>
    <w:tmpl w:val="B600D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6">
    <w:nsid w:val="643B6AB6"/>
    <w:multiLevelType w:val="hybridMultilevel"/>
    <w:tmpl w:val="0DFE2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D82ECA"/>
    <w:multiLevelType w:val="hybridMultilevel"/>
    <w:tmpl w:val="4BD0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0"/>
  </w:num>
  <w:num w:numId="3">
    <w:abstractNumId w:val="2"/>
  </w:num>
  <w:num w:numId="4">
    <w:abstractNumId w:val="26"/>
  </w:num>
  <w:num w:numId="5">
    <w:abstractNumId w:val="32"/>
  </w:num>
  <w:num w:numId="6">
    <w:abstractNumId w:val="39"/>
  </w:num>
  <w:num w:numId="7">
    <w:abstractNumId w:val="31"/>
  </w:num>
  <w:num w:numId="8">
    <w:abstractNumId w:val="37"/>
  </w:num>
  <w:num w:numId="9">
    <w:abstractNumId w:val="19"/>
  </w:num>
  <w:num w:numId="10">
    <w:abstractNumId w:val="42"/>
  </w:num>
  <w:num w:numId="11">
    <w:abstractNumId w:val="12"/>
  </w:num>
  <w:num w:numId="12">
    <w:abstractNumId w:val="0"/>
  </w:num>
  <w:num w:numId="13">
    <w:abstractNumId w:val="38"/>
  </w:num>
  <w:num w:numId="14">
    <w:abstractNumId w:val="27"/>
  </w:num>
  <w:num w:numId="15">
    <w:abstractNumId w:val="30"/>
  </w:num>
  <w:num w:numId="16">
    <w:abstractNumId w:val="33"/>
  </w:num>
  <w:num w:numId="17">
    <w:abstractNumId w:val="15"/>
  </w:num>
  <w:num w:numId="18">
    <w:abstractNumId w:val="16"/>
  </w:num>
  <w:num w:numId="19">
    <w:abstractNumId w:val="6"/>
  </w:num>
  <w:num w:numId="20">
    <w:abstractNumId w:val="25"/>
  </w:num>
  <w:num w:numId="21">
    <w:abstractNumId w:val="29"/>
  </w:num>
  <w:num w:numId="22">
    <w:abstractNumId w:val="45"/>
  </w:num>
  <w:num w:numId="23">
    <w:abstractNumId w:val="23"/>
  </w:num>
  <w:num w:numId="24">
    <w:abstractNumId w:val="11"/>
  </w:num>
  <w:num w:numId="25">
    <w:abstractNumId w:val="35"/>
  </w:num>
  <w:num w:numId="26">
    <w:abstractNumId w:val="34"/>
  </w:num>
  <w:num w:numId="27">
    <w:abstractNumId w:val="17"/>
  </w:num>
  <w:num w:numId="28">
    <w:abstractNumId w:val="13"/>
  </w:num>
  <w:num w:numId="29">
    <w:abstractNumId w:val="7"/>
  </w:num>
  <w:num w:numId="30">
    <w:abstractNumId w:val="41"/>
  </w:num>
  <w:num w:numId="31">
    <w:abstractNumId w:val="44"/>
  </w:num>
  <w:num w:numId="32">
    <w:abstractNumId w:val="1"/>
  </w:num>
  <w:num w:numId="33">
    <w:abstractNumId w:val="10"/>
  </w:num>
  <w:num w:numId="34">
    <w:abstractNumId w:val="4"/>
  </w:num>
  <w:num w:numId="35">
    <w:abstractNumId w:val="3"/>
  </w:num>
  <w:num w:numId="36">
    <w:abstractNumId w:val="24"/>
  </w:num>
  <w:num w:numId="37">
    <w:abstractNumId w:val="18"/>
  </w:num>
  <w:num w:numId="38">
    <w:abstractNumId w:val="36"/>
  </w:num>
  <w:num w:numId="39">
    <w:abstractNumId w:val="9"/>
  </w:num>
  <w:num w:numId="40">
    <w:abstractNumId w:val="14"/>
  </w:num>
  <w:num w:numId="41">
    <w:abstractNumId w:val="22"/>
  </w:num>
  <w:num w:numId="42">
    <w:abstractNumId w:val="20"/>
  </w:num>
  <w:num w:numId="43">
    <w:abstractNumId w:val="43"/>
  </w:num>
  <w:num w:numId="44">
    <w:abstractNumId w:val="21"/>
  </w:num>
  <w:num w:numId="45">
    <w:abstractNumId w:val="28"/>
  </w:num>
  <w:num w:numId="46">
    <w:abstractNumId w:val="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164F"/>
    <w:rsid w:val="000026EC"/>
    <w:rsid w:val="00013010"/>
    <w:rsid w:val="000170EF"/>
    <w:rsid w:val="00021117"/>
    <w:rsid w:val="00022FA4"/>
    <w:rsid w:val="000257B9"/>
    <w:rsid w:val="00025BDC"/>
    <w:rsid w:val="00026CFE"/>
    <w:rsid w:val="00030365"/>
    <w:rsid w:val="00032633"/>
    <w:rsid w:val="0003686C"/>
    <w:rsid w:val="000375B4"/>
    <w:rsid w:val="00066C4F"/>
    <w:rsid w:val="000713E9"/>
    <w:rsid w:val="00072DD6"/>
    <w:rsid w:val="00072F2F"/>
    <w:rsid w:val="000740FC"/>
    <w:rsid w:val="00074B5B"/>
    <w:rsid w:val="0008162B"/>
    <w:rsid w:val="0008752A"/>
    <w:rsid w:val="000914EC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F13B6"/>
    <w:rsid w:val="000F4FB2"/>
    <w:rsid w:val="000F56F3"/>
    <w:rsid w:val="000F6116"/>
    <w:rsid w:val="000F6AF9"/>
    <w:rsid w:val="0010151F"/>
    <w:rsid w:val="0010222C"/>
    <w:rsid w:val="0010492B"/>
    <w:rsid w:val="00110ADD"/>
    <w:rsid w:val="001203FB"/>
    <w:rsid w:val="00130DA0"/>
    <w:rsid w:val="00135733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73DA7"/>
    <w:rsid w:val="00180727"/>
    <w:rsid w:val="00185A7A"/>
    <w:rsid w:val="00186D81"/>
    <w:rsid w:val="0019000F"/>
    <w:rsid w:val="00190ED4"/>
    <w:rsid w:val="00192E6A"/>
    <w:rsid w:val="00196672"/>
    <w:rsid w:val="00196C7E"/>
    <w:rsid w:val="0019748C"/>
    <w:rsid w:val="00197952"/>
    <w:rsid w:val="001A26D1"/>
    <w:rsid w:val="001A671D"/>
    <w:rsid w:val="001B11F9"/>
    <w:rsid w:val="001B2696"/>
    <w:rsid w:val="001B490C"/>
    <w:rsid w:val="001B4DCA"/>
    <w:rsid w:val="001B61D0"/>
    <w:rsid w:val="001C402D"/>
    <w:rsid w:val="001C5373"/>
    <w:rsid w:val="001C7D42"/>
    <w:rsid w:val="001D432B"/>
    <w:rsid w:val="001D6120"/>
    <w:rsid w:val="001E2C24"/>
    <w:rsid w:val="001E486A"/>
    <w:rsid w:val="001E50F4"/>
    <w:rsid w:val="001E7354"/>
    <w:rsid w:val="001F287F"/>
    <w:rsid w:val="001F78CA"/>
    <w:rsid w:val="00201D14"/>
    <w:rsid w:val="00205584"/>
    <w:rsid w:val="00206390"/>
    <w:rsid w:val="0021134B"/>
    <w:rsid w:val="002115D1"/>
    <w:rsid w:val="00211668"/>
    <w:rsid w:val="00213F60"/>
    <w:rsid w:val="002147CE"/>
    <w:rsid w:val="00214FF5"/>
    <w:rsid w:val="00226356"/>
    <w:rsid w:val="00227E76"/>
    <w:rsid w:val="002330BA"/>
    <w:rsid w:val="0023370D"/>
    <w:rsid w:val="0023749F"/>
    <w:rsid w:val="00237A95"/>
    <w:rsid w:val="00241402"/>
    <w:rsid w:val="002451C8"/>
    <w:rsid w:val="00246408"/>
    <w:rsid w:val="00250AEC"/>
    <w:rsid w:val="00254452"/>
    <w:rsid w:val="002631D7"/>
    <w:rsid w:val="00271304"/>
    <w:rsid w:val="002713FE"/>
    <w:rsid w:val="0027371C"/>
    <w:rsid w:val="002839BC"/>
    <w:rsid w:val="00287A8C"/>
    <w:rsid w:val="00291A3C"/>
    <w:rsid w:val="00295273"/>
    <w:rsid w:val="002A58E8"/>
    <w:rsid w:val="002B32C2"/>
    <w:rsid w:val="002C1128"/>
    <w:rsid w:val="002C136A"/>
    <w:rsid w:val="002C2C81"/>
    <w:rsid w:val="002C39C8"/>
    <w:rsid w:val="002C3D38"/>
    <w:rsid w:val="002D1BAC"/>
    <w:rsid w:val="002D1C97"/>
    <w:rsid w:val="002D50D2"/>
    <w:rsid w:val="002E550B"/>
    <w:rsid w:val="0030096F"/>
    <w:rsid w:val="00303AFB"/>
    <w:rsid w:val="00303EC5"/>
    <w:rsid w:val="00304C0F"/>
    <w:rsid w:val="003059B6"/>
    <w:rsid w:val="00311675"/>
    <w:rsid w:val="0031420A"/>
    <w:rsid w:val="003150AA"/>
    <w:rsid w:val="00317BE9"/>
    <w:rsid w:val="00324BBE"/>
    <w:rsid w:val="003378BE"/>
    <w:rsid w:val="003417CF"/>
    <w:rsid w:val="00342C6B"/>
    <w:rsid w:val="00343DE7"/>
    <w:rsid w:val="00346EB7"/>
    <w:rsid w:val="003518C7"/>
    <w:rsid w:val="003572D5"/>
    <w:rsid w:val="00360A03"/>
    <w:rsid w:val="0036164F"/>
    <w:rsid w:val="00363633"/>
    <w:rsid w:val="00363C18"/>
    <w:rsid w:val="003704A3"/>
    <w:rsid w:val="00375107"/>
    <w:rsid w:val="00377111"/>
    <w:rsid w:val="00380C2A"/>
    <w:rsid w:val="00386018"/>
    <w:rsid w:val="0038794B"/>
    <w:rsid w:val="00395418"/>
    <w:rsid w:val="003961C3"/>
    <w:rsid w:val="003979F3"/>
    <w:rsid w:val="003A4735"/>
    <w:rsid w:val="003B1CCA"/>
    <w:rsid w:val="003B41FD"/>
    <w:rsid w:val="003B679E"/>
    <w:rsid w:val="003B77BC"/>
    <w:rsid w:val="003C00A5"/>
    <w:rsid w:val="003C0FD2"/>
    <w:rsid w:val="003C1113"/>
    <w:rsid w:val="003C1766"/>
    <w:rsid w:val="003C1AB1"/>
    <w:rsid w:val="003D136C"/>
    <w:rsid w:val="003D44EB"/>
    <w:rsid w:val="003D6875"/>
    <w:rsid w:val="003D7476"/>
    <w:rsid w:val="003E6C40"/>
    <w:rsid w:val="003E76B6"/>
    <w:rsid w:val="003F05CA"/>
    <w:rsid w:val="003F0817"/>
    <w:rsid w:val="003F143E"/>
    <w:rsid w:val="003F1568"/>
    <w:rsid w:val="003F409C"/>
    <w:rsid w:val="003F511E"/>
    <w:rsid w:val="003F728E"/>
    <w:rsid w:val="004023FA"/>
    <w:rsid w:val="00404B3F"/>
    <w:rsid w:val="004060DA"/>
    <w:rsid w:val="004132CC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44B9"/>
    <w:rsid w:val="00475E24"/>
    <w:rsid w:val="00482C82"/>
    <w:rsid w:val="00487F44"/>
    <w:rsid w:val="004913CA"/>
    <w:rsid w:val="004962C7"/>
    <w:rsid w:val="00497A85"/>
    <w:rsid w:val="00497F6F"/>
    <w:rsid w:val="004A51D5"/>
    <w:rsid w:val="004A62A4"/>
    <w:rsid w:val="004B21DE"/>
    <w:rsid w:val="004B3965"/>
    <w:rsid w:val="004B4C94"/>
    <w:rsid w:val="004B5467"/>
    <w:rsid w:val="004C0228"/>
    <w:rsid w:val="004C26DE"/>
    <w:rsid w:val="004C28D3"/>
    <w:rsid w:val="004C65AD"/>
    <w:rsid w:val="004C7F16"/>
    <w:rsid w:val="004D02A4"/>
    <w:rsid w:val="004D727B"/>
    <w:rsid w:val="004E4913"/>
    <w:rsid w:val="004E6AA6"/>
    <w:rsid w:val="004E7686"/>
    <w:rsid w:val="004F0959"/>
    <w:rsid w:val="00501E1C"/>
    <w:rsid w:val="0050258B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539EE"/>
    <w:rsid w:val="005545AA"/>
    <w:rsid w:val="00560EF6"/>
    <w:rsid w:val="00562D26"/>
    <w:rsid w:val="005638EA"/>
    <w:rsid w:val="005651C4"/>
    <w:rsid w:val="005814F4"/>
    <w:rsid w:val="00583C37"/>
    <w:rsid w:val="00590C52"/>
    <w:rsid w:val="00591800"/>
    <w:rsid w:val="005971AD"/>
    <w:rsid w:val="005A0B6D"/>
    <w:rsid w:val="005A0D8D"/>
    <w:rsid w:val="005A0F05"/>
    <w:rsid w:val="005A4205"/>
    <w:rsid w:val="005A663F"/>
    <w:rsid w:val="005A7027"/>
    <w:rsid w:val="005B1F4D"/>
    <w:rsid w:val="005B2014"/>
    <w:rsid w:val="005B26E9"/>
    <w:rsid w:val="005B3968"/>
    <w:rsid w:val="005C2A4B"/>
    <w:rsid w:val="005C51BB"/>
    <w:rsid w:val="005C6465"/>
    <w:rsid w:val="005C687C"/>
    <w:rsid w:val="005D059B"/>
    <w:rsid w:val="005D7497"/>
    <w:rsid w:val="005E1B45"/>
    <w:rsid w:val="005E2A41"/>
    <w:rsid w:val="005F0FE4"/>
    <w:rsid w:val="005F3D1A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5438"/>
    <w:rsid w:val="0064739F"/>
    <w:rsid w:val="00656446"/>
    <w:rsid w:val="0066076F"/>
    <w:rsid w:val="00660C4F"/>
    <w:rsid w:val="0067031E"/>
    <w:rsid w:val="006825D2"/>
    <w:rsid w:val="00685C48"/>
    <w:rsid w:val="0068739D"/>
    <w:rsid w:val="00697E57"/>
    <w:rsid w:val="006A369B"/>
    <w:rsid w:val="006B692C"/>
    <w:rsid w:val="006C123D"/>
    <w:rsid w:val="006C56FC"/>
    <w:rsid w:val="006D1D55"/>
    <w:rsid w:val="006D7778"/>
    <w:rsid w:val="006F51DE"/>
    <w:rsid w:val="006F7F56"/>
    <w:rsid w:val="006F7FA3"/>
    <w:rsid w:val="0071165D"/>
    <w:rsid w:val="00715F6D"/>
    <w:rsid w:val="00716755"/>
    <w:rsid w:val="00730F63"/>
    <w:rsid w:val="007312EC"/>
    <w:rsid w:val="00732421"/>
    <w:rsid w:val="00736D26"/>
    <w:rsid w:val="00737716"/>
    <w:rsid w:val="007378AE"/>
    <w:rsid w:val="00744695"/>
    <w:rsid w:val="00751B0B"/>
    <w:rsid w:val="0075255D"/>
    <w:rsid w:val="00752E78"/>
    <w:rsid w:val="00753794"/>
    <w:rsid w:val="00755463"/>
    <w:rsid w:val="00757635"/>
    <w:rsid w:val="00757EE0"/>
    <w:rsid w:val="00764B4D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DEC"/>
    <w:rsid w:val="007938CA"/>
    <w:rsid w:val="00797128"/>
    <w:rsid w:val="007A0C57"/>
    <w:rsid w:val="007A4D3E"/>
    <w:rsid w:val="007A4E4D"/>
    <w:rsid w:val="007C0F5F"/>
    <w:rsid w:val="007D106E"/>
    <w:rsid w:val="007D28F0"/>
    <w:rsid w:val="007D3890"/>
    <w:rsid w:val="007D44E4"/>
    <w:rsid w:val="007D484F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174E7"/>
    <w:rsid w:val="008265C0"/>
    <w:rsid w:val="00835639"/>
    <w:rsid w:val="0083604F"/>
    <w:rsid w:val="00836D39"/>
    <w:rsid w:val="008373DD"/>
    <w:rsid w:val="00840307"/>
    <w:rsid w:val="008410E1"/>
    <w:rsid w:val="008452D2"/>
    <w:rsid w:val="00854F0E"/>
    <w:rsid w:val="00864B19"/>
    <w:rsid w:val="00865552"/>
    <w:rsid w:val="008702DB"/>
    <w:rsid w:val="008727D8"/>
    <w:rsid w:val="00875A47"/>
    <w:rsid w:val="00880C69"/>
    <w:rsid w:val="00881C12"/>
    <w:rsid w:val="008828C5"/>
    <w:rsid w:val="00883851"/>
    <w:rsid w:val="00896C6C"/>
    <w:rsid w:val="008A3615"/>
    <w:rsid w:val="008B22A1"/>
    <w:rsid w:val="008B3420"/>
    <w:rsid w:val="008C1A32"/>
    <w:rsid w:val="008C36AA"/>
    <w:rsid w:val="008C383F"/>
    <w:rsid w:val="008C5FD9"/>
    <w:rsid w:val="008D31ED"/>
    <w:rsid w:val="008D570E"/>
    <w:rsid w:val="008D5951"/>
    <w:rsid w:val="008D701D"/>
    <w:rsid w:val="008E35FA"/>
    <w:rsid w:val="008E52D2"/>
    <w:rsid w:val="008E53F6"/>
    <w:rsid w:val="009110CC"/>
    <w:rsid w:val="00911440"/>
    <w:rsid w:val="0091375D"/>
    <w:rsid w:val="009174FC"/>
    <w:rsid w:val="0092265A"/>
    <w:rsid w:val="00922CFB"/>
    <w:rsid w:val="0093540C"/>
    <w:rsid w:val="0094674E"/>
    <w:rsid w:val="0094681F"/>
    <w:rsid w:val="0095088C"/>
    <w:rsid w:val="0095793D"/>
    <w:rsid w:val="00963F5A"/>
    <w:rsid w:val="0097037D"/>
    <w:rsid w:val="00972D76"/>
    <w:rsid w:val="00973403"/>
    <w:rsid w:val="00984F61"/>
    <w:rsid w:val="009859D4"/>
    <w:rsid w:val="00986550"/>
    <w:rsid w:val="0099127E"/>
    <w:rsid w:val="00991683"/>
    <w:rsid w:val="009950A6"/>
    <w:rsid w:val="009955BF"/>
    <w:rsid w:val="009A0740"/>
    <w:rsid w:val="009A2A6E"/>
    <w:rsid w:val="009A4B48"/>
    <w:rsid w:val="009A504C"/>
    <w:rsid w:val="009A797D"/>
    <w:rsid w:val="009A7B7E"/>
    <w:rsid w:val="009B68A9"/>
    <w:rsid w:val="009C20AB"/>
    <w:rsid w:val="009C232C"/>
    <w:rsid w:val="009C26A0"/>
    <w:rsid w:val="009C35CE"/>
    <w:rsid w:val="009C7147"/>
    <w:rsid w:val="009D1CE4"/>
    <w:rsid w:val="009F5070"/>
    <w:rsid w:val="00A00C90"/>
    <w:rsid w:val="00A22F14"/>
    <w:rsid w:val="00A2357C"/>
    <w:rsid w:val="00A35870"/>
    <w:rsid w:val="00A358FC"/>
    <w:rsid w:val="00A36DE1"/>
    <w:rsid w:val="00A41ABE"/>
    <w:rsid w:val="00A457F3"/>
    <w:rsid w:val="00A5383C"/>
    <w:rsid w:val="00A56A8C"/>
    <w:rsid w:val="00A70482"/>
    <w:rsid w:val="00A71D1C"/>
    <w:rsid w:val="00A7210D"/>
    <w:rsid w:val="00A7665B"/>
    <w:rsid w:val="00A81AC6"/>
    <w:rsid w:val="00A82DCD"/>
    <w:rsid w:val="00A83392"/>
    <w:rsid w:val="00A8354D"/>
    <w:rsid w:val="00A8619D"/>
    <w:rsid w:val="00A932B0"/>
    <w:rsid w:val="00AA5A02"/>
    <w:rsid w:val="00AB0627"/>
    <w:rsid w:val="00AB1378"/>
    <w:rsid w:val="00AC65D5"/>
    <w:rsid w:val="00AD2530"/>
    <w:rsid w:val="00AD3DD4"/>
    <w:rsid w:val="00AE1985"/>
    <w:rsid w:val="00AE1BE2"/>
    <w:rsid w:val="00AE28E0"/>
    <w:rsid w:val="00B031CA"/>
    <w:rsid w:val="00B035AA"/>
    <w:rsid w:val="00B036C5"/>
    <w:rsid w:val="00B0797E"/>
    <w:rsid w:val="00B16E7F"/>
    <w:rsid w:val="00B17FD1"/>
    <w:rsid w:val="00B222C4"/>
    <w:rsid w:val="00B23CDF"/>
    <w:rsid w:val="00B27DA2"/>
    <w:rsid w:val="00B307DC"/>
    <w:rsid w:val="00B34991"/>
    <w:rsid w:val="00B36061"/>
    <w:rsid w:val="00B4377E"/>
    <w:rsid w:val="00B654A2"/>
    <w:rsid w:val="00B70746"/>
    <w:rsid w:val="00B742B6"/>
    <w:rsid w:val="00B7581C"/>
    <w:rsid w:val="00B8060E"/>
    <w:rsid w:val="00B93330"/>
    <w:rsid w:val="00B94976"/>
    <w:rsid w:val="00B96225"/>
    <w:rsid w:val="00BA2FC2"/>
    <w:rsid w:val="00BA4169"/>
    <w:rsid w:val="00BA6320"/>
    <w:rsid w:val="00BB0285"/>
    <w:rsid w:val="00BB15C6"/>
    <w:rsid w:val="00BC32D8"/>
    <w:rsid w:val="00BC38A5"/>
    <w:rsid w:val="00BC59E9"/>
    <w:rsid w:val="00BC6FE3"/>
    <w:rsid w:val="00BD1C27"/>
    <w:rsid w:val="00BD255E"/>
    <w:rsid w:val="00BD2CD6"/>
    <w:rsid w:val="00BD60D5"/>
    <w:rsid w:val="00BE5EF1"/>
    <w:rsid w:val="00BF0245"/>
    <w:rsid w:val="00BF313F"/>
    <w:rsid w:val="00C019C9"/>
    <w:rsid w:val="00C02B15"/>
    <w:rsid w:val="00C02C57"/>
    <w:rsid w:val="00C038BB"/>
    <w:rsid w:val="00C11ABA"/>
    <w:rsid w:val="00C12533"/>
    <w:rsid w:val="00C1304B"/>
    <w:rsid w:val="00C2232D"/>
    <w:rsid w:val="00C24B96"/>
    <w:rsid w:val="00C25AC2"/>
    <w:rsid w:val="00C261A6"/>
    <w:rsid w:val="00C336CB"/>
    <w:rsid w:val="00C33D6C"/>
    <w:rsid w:val="00C37E04"/>
    <w:rsid w:val="00C40D0C"/>
    <w:rsid w:val="00C40D77"/>
    <w:rsid w:val="00C4246D"/>
    <w:rsid w:val="00C473B7"/>
    <w:rsid w:val="00C54FF5"/>
    <w:rsid w:val="00C70C78"/>
    <w:rsid w:val="00C72281"/>
    <w:rsid w:val="00C73450"/>
    <w:rsid w:val="00C82BA6"/>
    <w:rsid w:val="00C84890"/>
    <w:rsid w:val="00C85601"/>
    <w:rsid w:val="00C8603D"/>
    <w:rsid w:val="00C8748A"/>
    <w:rsid w:val="00C9127B"/>
    <w:rsid w:val="00C95152"/>
    <w:rsid w:val="00C95398"/>
    <w:rsid w:val="00C972A4"/>
    <w:rsid w:val="00CA1A2A"/>
    <w:rsid w:val="00CA362E"/>
    <w:rsid w:val="00CB16F9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4A50"/>
    <w:rsid w:val="00D051DA"/>
    <w:rsid w:val="00D05C81"/>
    <w:rsid w:val="00D10B60"/>
    <w:rsid w:val="00D15804"/>
    <w:rsid w:val="00D175B0"/>
    <w:rsid w:val="00D20D2C"/>
    <w:rsid w:val="00D249AE"/>
    <w:rsid w:val="00D25ADB"/>
    <w:rsid w:val="00D275B8"/>
    <w:rsid w:val="00D3054C"/>
    <w:rsid w:val="00D3142C"/>
    <w:rsid w:val="00D405C4"/>
    <w:rsid w:val="00D423C9"/>
    <w:rsid w:val="00D44707"/>
    <w:rsid w:val="00D4655B"/>
    <w:rsid w:val="00D51A57"/>
    <w:rsid w:val="00D55D8A"/>
    <w:rsid w:val="00D61528"/>
    <w:rsid w:val="00D641E6"/>
    <w:rsid w:val="00D64CB7"/>
    <w:rsid w:val="00D71722"/>
    <w:rsid w:val="00D7389C"/>
    <w:rsid w:val="00D7402C"/>
    <w:rsid w:val="00D76F29"/>
    <w:rsid w:val="00D809FA"/>
    <w:rsid w:val="00D83C4C"/>
    <w:rsid w:val="00D86E96"/>
    <w:rsid w:val="00D912A8"/>
    <w:rsid w:val="00D9391A"/>
    <w:rsid w:val="00D95B49"/>
    <w:rsid w:val="00DA0CE9"/>
    <w:rsid w:val="00DA16E2"/>
    <w:rsid w:val="00DA73B0"/>
    <w:rsid w:val="00DB33CF"/>
    <w:rsid w:val="00DB7509"/>
    <w:rsid w:val="00DC5C9D"/>
    <w:rsid w:val="00DC71C6"/>
    <w:rsid w:val="00DC7959"/>
    <w:rsid w:val="00DD078E"/>
    <w:rsid w:val="00DD1B56"/>
    <w:rsid w:val="00DE2734"/>
    <w:rsid w:val="00DE6886"/>
    <w:rsid w:val="00DF722B"/>
    <w:rsid w:val="00E03408"/>
    <w:rsid w:val="00E074F3"/>
    <w:rsid w:val="00E0758F"/>
    <w:rsid w:val="00E07F03"/>
    <w:rsid w:val="00E1593A"/>
    <w:rsid w:val="00E17180"/>
    <w:rsid w:val="00E26568"/>
    <w:rsid w:val="00E26BD8"/>
    <w:rsid w:val="00E32465"/>
    <w:rsid w:val="00E33280"/>
    <w:rsid w:val="00E37022"/>
    <w:rsid w:val="00E3770D"/>
    <w:rsid w:val="00E377B6"/>
    <w:rsid w:val="00E40141"/>
    <w:rsid w:val="00E45006"/>
    <w:rsid w:val="00E45EC2"/>
    <w:rsid w:val="00E461D0"/>
    <w:rsid w:val="00E47A9A"/>
    <w:rsid w:val="00E51456"/>
    <w:rsid w:val="00E566D4"/>
    <w:rsid w:val="00E61706"/>
    <w:rsid w:val="00E64998"/>
    <w:rsid w:val="00E650AA"/>
    <w:rsid w:val="00E67F49"/>
    <w:rsid w:val="00E705CE"/>
    <w:rsid w:val="00E71D0D"/>
    <w:rsid w:val="00E73A62"/>
    <w:rsid w:val="00E80486"/>
    <w:rsid w:val="00E81155"/>
    <w:rsid w:val="00E9180D"/>
    <w:rsid w:val="00E9629D"/>
    <w:rsid w:val="00EA25D3"/>
    <w:rsid w:val="00EA6474"/>
    <w:rsid w:val="00EA6AD4"/>
    <w:rsid w:val="00EB4B5A"/>
    <w:rsid w:val="00EB7102"/>
    <w:rsid w:val="00EB7CD4"/>
    <w:rsid w:val="00EC0FDA"/>
    <w:rsid w:val="00ED1F86"/>
    <w:rsid w:val="00ED5BDC"/>
    <w:rsid w:val="00ED7534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61E7"/>
    <w:rsid w:val="00F56764"/>
    <w:rsid w:val="00F6062C"/>
    <w:rsid w:val="00F63ED8"/>
    <w:rsid w:val="00F77271"/>
    <w:rsid w:val="00F835BA"/>
    <w:rsid w:val="00F846A6"/>
    <w:rsid w:val="00F86A43"/>
    <w:rsid w:val="00F96D2E"/>
    <w:rsid w:val="00FA14D6"/>
    <w:rsid w:val="00FA17F9"/>
    <w:rsid w:val="00FA2D82"/>
    <w:rsid w:val="00FA68F7"/>
    <w:rsid w:val="00FA6FFE"/>
    <w:rsid w:val="00FA7438"/>
    <w:rsid w:val="00FB0D77"/>
    <w:rsid w:val="00FB1A53"/>
    <w:rsid w:val="00FB2D4C"/>
    <w:rsid w:val="00FC20B0"/>
    <w:rsid w:val="00FC360B"/>
    <w:rsid w:val="00FD050D"/>
    <w:rsid w:val="00FD3737"/>
    <w:rsid w:val="00FE02B5"/>
    <w:rsid w:val="00FE30A5"/>
    <w:rsid w:val="00FF5248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/index.php?option=com_k2&amp;view=item&amp;layout=item&amp;id=33&amp;Itemid=297&amp;lang=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D6A72-70D8-43D6-B218-3D2E6172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2890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20196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kjasnos</cp:lastModifiedBy>
  <cp:revision>14</cp:revision>
  <cp:lastPrinted>2023-12-12T11:22:00Z</cp:lastPrinted>
  <dcterms:created xsi:type="dcterms:W3CDTF">2025-02-11T10:57:00Z</dcterms:created>
  <dcterms:modified xsi:type="dcterms:W3CDTF">2025-10-14T11:21:00Z</dcterms:modified>
</cp:coreProperties>
</file>